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Республики Бурятия от 07.03.2012 N 2580-IV</w:t>
              <w:br/>
              <w:t xml:space="preserve">(ред. от 22.11.2023)</w:t>
              <w:br/>
              <w:t xml:space="preserve">"О некоторых вопросах организации и деятельности контрольно-счетных органов муниципальных образований в Республике Бурятия"</w:t>
              <w:br/>
              <w:t xml:space="preserve">(принят Народным Хуралом РБ 29.02.2012)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 марта 2012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2580-IV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РЕСПУБЛИКА БУРЯТИЯ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НЕКОТОРЫХ ВОПРОСАХ ОРГАНИЗАЦИИ И ДЕЯТЕЛЬНОСТИ КОНТРОЛЬНО-</w:t>
      </w:r>
    </w:p>
    <w:p>
      <w:pPr>
        <w:pStyle w:val="2"/>
        <w:jc w:val="center"/>
      </w:pPr>
      <w:r>
        <w:rPr>
          <w:sz w:val="20"/>
        </w:rPr>
        <w:t xml:space="preserve">СЧЕТНЫХ ОРГАНОВ МУНИЦИПАЛЬНЫХ ОБРАЗОВАНИЙ В РЕСПУБЛИКЕ</w:t>
      </w:r>
    </w:p>
    <w:p>
      <w:pPr>
        <w:pStyle w:val="2"/>
        <w:jc w:val="center"/>
      </w:pPr>
      <w:r>
        <w:rPr>
          <w:sz w:val="20"/>
        </w:rPr>
        <w:t xml:space="preserve">БУРЯТИЯ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Народным Хуралом</w:t>
      </w:r>
    </w:p>
    <w:p>
      <w:pPr>
        <w:pStyle w:val="0"/>
        <w:jc w:val="right"/>
      </w:pPr>
      <w:r>
        <w:rPr>
          <w:sz w:val="20"/>
        </w:rPr>
        <w:t xml:space="preserve">Республики Бурятия</w:t>
      </w:r>
    </w:p>
    <w:p>
      <w:pPr>
        <w:pStyle w:val="0"/>
        <w:jc w:val="right"/>
      </w:pPr>
      <w:r>
        <w:rPr>
          <w:sz w:val="20"/>
        </w:rPr>
        <w:t xml:space="preserve">29 февраля 2012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Республики Бурятия от 24.11.2021 </w:t>
            </w:r>
            <w:hyperlink w:history="0" r:id="rId7" w:tooltip="Закон Республики Бурятия от 24.11.2021 N 1828-VI &quot;О внесении изменений в некоторые законодательные акты Республики Бурятия&quot; (принят Народным Хуралом РБ 18.11.2021) {КонсультантПлюс}">
              <w:r>
                <w:rPr>
                  <w:sz w:val="20"/>
                  <w:color w:val="0000ff"/>
                </w:rPr>
                <w:t xml:space="preserve">N 1828-VI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22.11.2023 </w:t>
            </w:r>
            <w:hyperlink w:history="0" r:id="rId8" w:tooltip="Закон Республики Бурятия от 22.11.2023 N 176-VII &quot;О внесении изменений в отдельные законодательные акты Республики Бурятия&quot; (принят Народным Хуралом РБ 16.11.2023) {КонсультантПлюс}">
              <w:r>
                <w:rPr>
                  <w:sz w:val="20"/>
                  <w:color w:val="0000ff"/>
                </w:rPr>
                <w:t xml:space="preserve">N 176-VII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регулирует некоторые вопросы организации и деятельности контрольно-счетных органов муниципальных образований в Республике Бурятия (далее - контрольно-счетные органы) в соответствии с Федеральным </w:t>
      </w:r>
      <w:hyperlink w:history="0" r:id="rId9" w:tooltip="Федеральный закон от 07.02.2011 N 6-ФЗ (ред. от 08.08.2024) &quot;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(далее - Федеральный закон).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Закон Республики Бурятия от 22.11.2023 N 176-VII &quot;О внесении изменений в отдельные законодательные акты Республики Бурятия&quot; (принят Народным Хуралом РБ 16.1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Бурятия от 22.11.2023 N 176-VII)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Утратила силу. - </w:t>
      </w:r>
      <w:hyperlink w:history="0" r:id="rId11" w:tooltip="Закон Республики Бурятия от 24.11.2021 N 1828-VI &quot;О внесении изменений в некоторые законодательные акты Республики Бурятия&quot; (принят Народным Хуралом РБ 18.11.202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Бурятия от 24.11.2021 N 1828-VI.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2.1. Порядок согласования кандидата на должность председателя контрольно-счетного органа муниципального образования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12" w:tooltip="Закон Республики Бурятия от 24.11.2021 N 1828-VI &quot;О внесении изменений в некоторые законодательные акты Республики Бурятия&quot; (принят Народным Хуралом РБ 18.11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Бурятия от 24.11.2021 N 1828-VI)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Представительный орган муниципального образования вправе обратиться в Счетную палату Республики Бурятия за заключением о соответствии кандидатур на должность председателя контрольно-счетного органа муниципального образования квалификационным требованиям, установленным </w:t>
      </w:r>
      <w:hyperlink w:history="0" r:id="rId13" w:tooltip="Федеральный закон от 07.02.2011 N 6-ФЗ (ред. от 08.08.2024) &quot;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&quot;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Закон Республики Бурятия от 22.11.2023 N 176-VII &quot;О внесении изменений в отдельные законодательные акты Республики Бурятия&quot; (принят Народным Хуралом РБ 16.1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Бурятия от 22.11.2023 N 176-VII)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проведения проверки соответствия кандидатур на должность председателя контрольно-счетного органа муниципального образования квалификационным требованиям устанавливается Счетной палатой Республики Бурятия.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Полномочия контрольно-счетного органа в сфере внешнего муниципального финансового контроля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Контрольно-счетный орган, помимо полномочий, установленных Федеральным законом, осуществляет: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утратил силу. - </w:t>
      </w:r>
      <w:hyperlink w:history="0" r:id="rId15" w:tooltip="Закон Республики Бурятия от 24.11.2021 N 1828-VI &quot;О внесении изменений в некоторые законодательные акты Республики Бурятия&quot; (принят Народным Хуралом РБ 18.11.202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Бурятия от 24.11.2021 N 1828-VI;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организация и осуществление контроля за законностью и эффективностью использования средств местного бюджета, муниципального имущества в рамках реализации программ и планов развития муниципального образования;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6" w:tooltip="Закон Республики Бурятия от 24.11.2021 N 1828-VI &quot;О внесении изменений в некоторые законодательные акты Республики Бурятия&quot; (принят Народным Хуралом РБ 18.11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Бурятия от 24.11.2021 N 1828-VI)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подготовку и внесение в органы местного самоуправления предложений, направленных на устранение недостатков, выявленных в ходе проведения контрольных и экспертно-аналитических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утратил силу. - </w:t>
      </w:r>
      <w:hyperlink w:history="0" r:id="rId17" w:tooltip="Закон Республики Бурятия от 24.11.2021 N 1828-VI &quot;О внесении изменений в некоторые законодательные акты Республики Бурятия&quot; (принят Народным Хуралом РБ 18.11.202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Бурятия от 24.11.2021 N 1828-VI.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Порядок и форма уведомления председателя контрольно-счетного органа</w:t>
      </w:r>
    </w:p>
    <w:p>
      <w:pPr>
        <w:pStyle w:val="0"/>
        <w:jc w:val="both"/>
      </w:pPr>
      <w:r>
        <w:rPr>
          <w:sz w:val="20"/>
        </w:rPr>
      </w:r>
    </w:p>
    <w:bookmarkStart w:id="46" w:name="P46"/>
    <w:bookmarkEnd w:id="46"/>
    <w:p>
      <w:pPr>
        <w:pStyle w:val="0"/>
        <w:ind w:firstLine="540"/>
        <w:jc w:val="both"/>
      </w:pPr>
      <w:r>
        <w:rPr>
          <w:sz w:val="20"/>
        </w:rPr>
        <w:t xml:space="preserve">1. Должностные лица контрольно-счетного органа при опечатывании касс, кассовых и служебных помещений, складов и архивов, изъятии документов и материалов в случае, предусмотренном </w:t>
      </w:r>
      <w:hyperlink w:history="0" r:id="rId18" w:tooltip="Федеральный закон от 07.02.2011 N 6-ФЗ (ред. от 08.08.2024) &quot;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&quot; {КонсультантПлюс}">
        <w:r>
          <w:rPr>
            <w:sz w:val="20"/>
            <w:color w:val="0000ff"/>
          </w:rPr>
          <w:t xml:space="preserve">пунктом 2 части 1 статьи 14</w:t>
        </w:r>
      </w:hyperlink>
      <w:r>
        <w:rPr>
          <w:sz w:val="20"/>
        </w:rPr>
        <w:t xml:space="preserve"> Федерального закона, должны незамедлительно (в течение 24 часов) уведомить об этом председателя контрольно-счетного органа в письменной форме, в том числе посредством использования факсимильной связи и (или) ресурсов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уведомлении указываются должность, фамилия, инициалы должностного лица контрольно-счетного органа, участвовавшего в мероприятиях, предусмотренных </w:t>
      </w:r>
      <w:hyperlink w:history="0" w:anchor="P46" w:tooltip="1. Должностные лица контрольно-счетного органа при опечатывании касс, кассовых и служебных помещений, складов и архивов, изъятии документов и материалов в случае, предусмотренном пунктом 2 части 1 статьи 14 Федерального закона, должны незамедлительно (в течение 24 часов) уведомить об этом председателя контрольно-счетного органа в письменной форме, в том числе посредством использования факсимильной связи и (или) ресурсов в информационно-телекоммуникационной сети &quot;Интернет&quot;.">
        <w:r>
          <w:rPr>
            <w:sz w:val="20"/>
            <w:color w:val="0000ff"/>
          </w:rPr>
          <w:t xml:space="preserve">частью 1</w:t>
        </w:r>
      </w:hyperlink>
      <w:r>
        <w:rPr>
          <w:sz w:val="20"/>
        </w:rPr>
        <w:t xml:space="preserve"> настоящей статьи, наименование контрольного мероприятия, произведенные действия, место их производства, обстоятельства, послужившие основанием для указанных действий. К уведомлению прилагаются копии актов опечатывания касс, кассовых и служебных помещений, складов и архивов, изъятия документов и материалов.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Представление информации контрольно-счетному органу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Закон Республики Бурятия от 24.11.2021 N 1828-VI &quot;О внесении изменений в некоторые законодательные акты Республики Бурятия&quot; (принят Народным Хуралом РБ 18.11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Бурятия от 24.11.2021 N 1828-VI)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местного самоуправления и муниципальные органы, организации, в отношении которых контрольно-счетные органы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срок, указанный в запросе, а при его отсутствии - не позднее пяти рабочих дней со дня получения запроса,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20" w:tooltip="Закон Республики Бурятия от 24.11.2021 N 1828-VI &quot;О внесении изменений в некоторые законодательные акты Республики Бурятия&quot; (принят Народным Хуралом РБ 18.11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Бурятия от 24.11.2021 N 1828-VI)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Контрольно-счетный орган вправе предусмотреть в запросе периодичность представления информации, документов и материалов либо указать на необходимость представления информации, документов и материалов при наступлении определенных событий.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Срок представления пояснений и замечаний руководителей проверяемых органов и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Пояснения и замечания руководителей проверяемых органов и организаций к акту, составленному контрольно-счетным органом, представляются в контрольно-счетный орган в срок не позднее пяти рабочих дней со дня его получения.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 Республики Бурятия</w:t>
      </w:r>
    </w:p>
    <w:p>
      <w:pPr>
        <w:pStyle w:val="0"/>
        <w:jc w:val="right"/>
      </w:pPr>
      <w:r>
        <w:rPr>
          <w:sz w:val="20"/>
        </w:rPr>
        <w:t xml:space="preserve">В.В.НАГОВИЦЫН</w:t>
      </w:r>
    </w:p>
    <w:p>
      <w:pPr>
        <w:pStyle w:val="0"/>
      </w:pPr>
      <w:r>
        <w:rPr>
          <w:sz w:val="20"/>
        </w:rPr>
        <w:t xml:space="preserve">г. Улан-Удэ</w:t>
      </w:r>
    </w:p>
    <w:p>
      <w:pPr>
        <w:pStyle w:val="0"/>
        <w:spacing w:before="200" w:line-rule="auto"/>
      </w:pPr>
      <w:r>
        <w:rPr>
          <w:sz w:val="20"/>
        </w:rPr>
        <w:t xml:space="preserve">7 марта 2012 года</w:t>
      </w:r>
    </w:p>
    <w:p>
      <w:pPr>
        <w:pStyle w:val="0"/>
        <w:spacing w:before="200" w:line-rule="auto"/>
      </w:pPr>
      <w:r>
        <w:rPr>
          <w:sz w:val="20"/>
        </w:rPr>
        <w:t xml:space="preserve">N 2580-IV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Бурятия от 07.03.2012 N 2580-IV</w:t>
            <w:br/>
            <w:t>(ред. от 22.11.2023)</w:t>
            <w:br/>
            <w:t>"О некоторых вопросах организации и деятельности 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55&amp;n=71398&amp;dst=100084" TargetMode = "External"/>
	<Relationship Id="rId8" Type="http://schemas.openxmlformats.org/officeDocument/2006/relationships/hyperlink" Target="https://login.consultant.ru/link/?req=doc&amp;base=RLAW355&amp;n=81700&amp;dst=100021" TargetMode = "External"/>
	<Relationship Id="rId9" Type="http://schemas.openxmlformats.org/officeDocument/2006/relationships/hyperlink" Target="https://login.consultant.ru/link/?req=doc&amp;base=LAW&amp;n=482853&amp;dst=100012" TargetMode = "External"/>
	<Relationship Id="rId10" Type="http://schemas.openxmlformats.org/officeDocument/2006/relationships/hyperlink" Target="https://login.consultant.ru/link/?req=doc&amp;base=RLAW355&amp;n=81700&amp;dst=100022" TargetMode = "External"/>
	<Relationship Id="rId11" Type="http://schemas.openxmlformats.org/officeDocument/2006/relationships/hyperlink" Target="https://login.consultant.ru/link/?req=doc&amp;base=RLAW355&amp;n=71398&amp;dst=100085" TargetMode = "External"/>
	<Relationship Id="rId12" Type="http://schemas.openxmlformats.org/officeDocument/2006/relationships/hyperlink" Target="https://login.consultant.ru/link/?req=doc&amp;base=RLAW355&amp;n=71398&amp;dst=100086" TargetMode = "External"/>
	<Relationship Id="rId13" Type="http://schemas.openxmlformats.org/officeDocument/2006/relationships/hyperlink" Target="https://login.consultant.ru/link/?req=doc&amp;base=LAW&amp;n=482853&amp;dst=29" TargetMode = "External"/>
	<Relationship Id="rId14" Type="http://schemas.openxmlformats.org/officeDocument/2006/relationships/hyperlink" Target="https://login.consultant.ru/link/?req=doc&amp;base=RLAW355&amp;n=81700&amp;dst=100023" TargetMode = "External"/>
	<Relationship Id="rId15" Type="http://schemas.openxmlformats.org/officeDocument/2006/relationships/hyperlink" Target="https://login.consultant.ru/link/?req=doc&amp;base=RLAW355&amp;n=71398&amp;dst=100091" TargetMode = "External"/>
	<Relationship Id="rId16" Type="http://schemas.openxmlformats.org/officeDocument/2006/relationships/hyperlink" Target="https://login.consultant.ru/link/?req=doc&amp;base=RLAW355&amp;n=71398&amp;dst=100092" TargetMode = "External"/>
	<Relationship Id="rId17" Type="http://schemas.openxmlformats.org/officeDocument/2006/relationships/hyperlink" Target="https://login.consultant.ru/link/?req=doc&amp;base=RLAW355&amp;n=71398&amp;dst=100094" TargetMode = "External"/>
	<Relationship Id="rId18" Type="http://schemas.openxmlformats.org/officeDocument/2006/relationships/hyperlink" Target="https://login.consultant.ru/link/?req=doc&amp;base=LAW&amp;n=482853&amp;dst=100134" TargetMode = "External"/>
	<Relationship Id="rId19" Type="http://schemas.openxmlformats.org/officeDocument/2006/relationships/hyperlink" Target="https://login.consultant.ru/link/?req=doc&amp;base=RLAW355&amp;n=71398&amp;dst=100096" TargetMode = "External"/>
	<Relationship Id="rId20" Type="http://schemas.openxmlformats.org/officeDocument/2006/relationships/hyperlink" Target="https://login.consultant.ru/link/?req=doc&amp;base=RLAW355&amp;n=71398&amp;dst=10009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Бурятия от 07.03.2012 N 2580-IV
(ред. от 22.11.2023)
"О некоторых вопросах организации и деятельности контрольно-счетных органов муниципальных образований в Республике Бурятия"
(принят Народным Хуралом РБ 29.02.2012)</dc:title>
  <dcterms:created xsi:type="dcterms:W3CDTF">2024-08-27T05:27:05Z</dcterms:created>
</cp:coreProperties>
</file>